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3989A" w14:textId="29230298" w:rsidR="00DC1846" w:rsidRDefault="00444DDF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Projekt</w:t>
      </w:r>
    </w:p>
    <w:p w14:paraId="5A6D9039" w14:textId="7A3A6750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73698">
        <w:rPr>
          <w:rFonts w:ascii="Times New Roman" w:hAnsi="Times New Roman" w:cs="Times New Roman"/>
          <w:b/>
          <w:bCs/>
          <w:sz w:val="20"/>
          <w:szCs w:val="20"/>
        </w:rPr>
        <w:t>Uchwała Nr</w:t>
      </w:r>
      <w:r w:rsidR="0076620A">
        <w:rPr>
          <w:rFonts w:ascii="Times New Roman" w:hAnsi="Times New Roman" w:cs="Times New Roman"/>
          <w:b/>
          <w:bCs/>
          <w:sz w:val="20"/>
          <w:szCs w:val="20"/>
        </w:rPr>
        <w:t xml:space="preserve"> XXX</w:t>
      </w:r>
      <w:r w:rsidR="00444DDF">
        <w:rPr>
          <w:rFonts w:ascii="Times New Roman" w:hAnsi="Times New Roman" w:cs="Times New Roman"/>
          <w:b/>
          <w:bCs/>
          <w:sz w:val="20"/>
          <w:szCs w:val="20"/>
        </w:rPr>
        <w:t>IX…………….</w:t>
      </w:r>
      <w:r w:rsidR="0076620A">
        <w:rPr>
          <w:rFonts w:ascii="Times New Roman" w:hAnsi="Times New Roman" w:cs="Times New Roman"/>
          <w:b/>
          <w:bCs/>
          <w:sz w:val="20"/>
          <w:szCs w:val="20"/>
        </w:rPr>
        <w:t>/2022</w:t>
      </w:r>
    </w:p>
    <w:p w14:paraId="3842D152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Rady Gminy Lidzbark Warmiński</w:t>
      </w:r>
    </w:p>
    <w:p w14:paraId="7664FEDE" w14:textId="3FE08B33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444DDF">
        <w:rPr>
          <w:rFonts w:ascii="Times New Roman" w:hAnsi="Times New Roman" w:cs="Times New Roman"/>
          <w:b/>
          <w:bCs/>
          <w:sz w:val="24"/>
          <w:szCs w:val="24"/>
        </w:rPr>
        <w:t>16 marca</w:t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1B9280D0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w sprawie wprowadzenia zmian w Wieloletniej Prognozie Finansowej Gminy Lidzbark Warmiński na lata 2022-2037</w:t>
      </w:r>
    </w:p>
    <w:p w14:paraId="5E647045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ind w:firstLine="708"/>
        <w:jc w:val="both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Na podstawie art. 230, art. 231 ust. 1 ustawy z dnia 27 sierpnia 2009 r. o finansach publicznych (tj. Dz. U. z 2021r.  poz. 305 ze </w:t>
      </w:r>
      <w:proofErr w:type="spellStart"/>
      <w:r w:rsidRPr="00B73698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B73698">
        <w:rPr>
          <w:rFonts w:ascii="Times New Roman" w:hAnsi="Times New Roman" w:cs="Times New Roman"/>
          <w:sz w:val="24"/>
          <w:szCs w:val="24"/>
        </w:rPr>
        <w:t xml:space="preserve">) oraz art. 18 ust 2 pkt 15 ustawy z dnia 8 marca 1990r. o samorządzie gminnym (tj. Dz.U. z 2021r. poz.1372 ze </w:t>
      </w:r>
      <w:proofErr w:type="spellStart"/>
      <w:r w:rsidRPr="00B73698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B73698">
        <w:rPr>
          <w:rFonts w:ascii="Times New Roman" w:hAnsi="Times New Roman" w:cs="Times New Roman"/>
          <w:sz w:val="24"/>
          <w:szCs w:val="24"/>
        </w:rPr>
        <w:t>) Rada Gminy uchwala, co następuje:</w:t>
      </w:r>
    </w:p>
    <w:p w14:paraId="4E33F68F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3A86B094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Ustala się zmiany w Wieloletniej Prognozie Finansowej Gminy na lata 2022–2037, zgodnie </w:t>
      </w:r>
      <w:r w:rsidRPr="00B73698">
        <w:rPr>
          <w:rFonts w:ascii="Times New Roman" w:hAnsi="Times New Roman" w:cs="Times New Roman"/>
        </w:rPr>
        <w:br/>
      </w:r>
      <w:r w:rsidRPr="00B73698">
        <w:rPr>
          <w:rFonts w:ascii="Times New Roman" w:hAnsi="Times New Roman" w:cs="Times New Roman"/>
          <w:sz w:val="24"/>
          <w:szCs w:val="24"/>
        </w:rPr>
        <w:t>z załącznikiem nr 1.</w:t>
      </w:r>
    </w:p>
    <w:p w14:paraId="5C30F56E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5D446ABB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>Wykaz przedsięwzięć realizowanych w latach 2022-2037 zgodnie z załącznikiem Nr 2.</w:t>
      </w:r>
    </w:p>
    <w:p w14:paraId="24BF65BF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5DAF13BF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14:paraId="20956B8B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§4</w:t>
      </w:r>
    </w:p>
    <w:p w14:paraId="1F4B6F37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>Uchwała wchodzi w życie z dniem podjęcia i podlega ogłoszeniu.</w:t>
      </w:r>
    </w:p>
    <w:p w14:paraId="2BF661E8" w14:textId="77777777" w:rsidR="00B73698" w:rsidRPr="00B73698" w:rsidRDefault="00B73698" w:rsidP="00B736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062137C" w14:textId="07F7E53D" w:rsidR="009131E9" w:rsidRDefault="009131E9"/>
    <w:p w14:paraId="4C21F78D" w14:textId="4E22C45F" w:rsidR="00B73698" w:rsidRDefault="00B73698"/>
    <w:p w14:paraId="26D45CC9" w14:textId="3BF8508E" w:rsidR="00B73698" w:rsidRDefault="00B73698"/>
    <w:p w14:paraId="403720A4" w14:textId="1DEC113E" w:rsidR="00B73698" w:rsidRDefault="00B73698"/>
    <w:p w14:paraId="045E2CF4" w14:textId="2BEF2D50" w:rsidR="00B73698" w:rsidRDefault="00B73698"/>
    <w:p w14:paraId="11AA1109" w14:textId="445C37DF" w:rsidR="00B73698" w:rsidRDefault="00B73698"/>
    <w:p w14:paraId="20D8494B" w14:textId="24808F93" w:rsidR="00B73698" w:rsidRDefault="00B73698"/>
    <w:p w14:paraId="7310BF42" w14:textId="64864468" w:rsidR="00B73698" w:rsidRDefault="00B73698"/>
    <w:p w14:paraId="0DFB2652" w14:textId="76F9D7C6" w:rsidR="00B73698" w:rsidRDefault="00B73698"/>
    <w:p w14:paraId="729981B4" w14:textId="6D73BC35" w:rsidR="00B73698" w:rsidRPr="00B73698" w:rsidRDefault="002106FF" w:rsidP="00B73698">
      <w:pPr>
        <w:tabs>
          <w:tab w:val="left" w:pos="424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O</w:t>
      </w:r>
      <w:r w:rsidR="00B73698" w:rsidRPr="00B73698">
        <w:rPr>
          <w:rFonts w:ascii="Times New Roman" w:hAnsi="Times New Roman" w:cs="Times New Roman"/>
          <w:b/>
          <w:bCs/>
          <w:sz w:val="20"/>
          <w:szCs w:val="20"/>
        </w:rPr>
        <w:t xml:space="preserve">bjaśnienia </w:t>
      </w:r>
    </w:p>
    <w:p w14:paraId="0611D03A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0"/>
          <w:szCs w:val="20"/>
        </w:rPr>
        <w:t>do projektu uchwały Rady Gminy L</w:t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>idzbark Warmiński w sprawie wprowadzenia zmian</w:t>
      </w:r>
      <w:r w:rsidRPr="00B73698">
        <w:rPr>
          <w:rFonts w:ascii="Times New Roman" w:hAnsi="Times New Roman" w:cs="Times New Roman"/>
        </w:rPr>
        <w:br/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 xml:space="preserve"> w Wieloletniej Prognozie Finansowej Gminy Lidzbark Warmiński na lata 2022-2037</w:t>
      </w:r>
    </w:p>
    <w:p w14:paraId="746E0208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0D941" w14:textId="77777777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b/>
          <w:bCs/>
          <w:sz w:val="24"/>
          <w:szCs w:val="24"/>
        </w:rPr>
        <w:t>W załączniku Nr 1</w:t>
      </w:r>
      <w:r w:rsidRPr="00B73698">
        <w:rPr>
          <w:rFonts w:ascii="Times New Roman" w:hAnsi="Times New Roman" w:cs="Times New Roman"/>
          <w:sz w:val="24"/>
          <w:szCs w:val="24"/>
        </w:rPr>
        <w:t xml:space="preserve"> dokonano zmian wartości wieloletniej prognozy finansowej w 2022r:</w:t>
      </w:r>
    </w:p>
    <w:p w14:paraId="27AB5F44" w14:textId="244D1B6D" w:rsidR="00B73698" w:rsidRPr="00B73698" w:rsidRDefault="00B73698" w:rsidP="00B73698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Dochody </w:t>
      </w:r>
      <w:r w:rsidR="00707C91">
        <w:rPr>
          <w:rFonts w:ascii="Times New Roman" w:hAnsi="Times New Roman" w:cs="Times New Roman"/>
          <w:color w:val="000000"/>
          <w:sz w:val="24"/>
          <w:szCs w:val="24"/>
        </w:rPr>
        <w:t>zwiększono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 o kwotę                                    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  </w:t>
      </w:r>
      <w:r w:rsidR="00707C91">
        <w:rPr>
          <w:rFonts w:ascii="Times New Roman" w:hAnsi="Times New Roman" w:cs="Times New Roman"/>
          <w:color w:val="000000"/>
          <w:sz w:val="24"/>
          <w:szCs w:val="24"/>
        </w:rPr>
        <w:t>986 242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>,00 zł,</w:t>
      </w:r>
    </w:p>
    <w:p w14:paraId="74728692" w14:textId="2119A2E4" w:rsidR="00B73698" w:rsidRPr="00B73698" w:rsidRDefault="00B73698" w:rsidP="00B73698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Wydatki zwiększono o kwotę                      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6854A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7C91">
        <w:rPr>
          <w:rFonts w:ascii="Times New Roman" w:hAnsi="Times New Roman" w:cs="Times New Roman"/>
          <w:color w:val="000000"/>
          <w:sz w:val="24"/>
          <w:szCs w:val="24"/>
        </w:rPr>
        <w:t>1 224 198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>,00 zł</w:t>
      </w:r>
    </w:p>
    <w:p w14:paraId="68A18B31" w14:textId="070A11C6" w:rsidR="00B73698" w:rsidRPr="00707C91" w:rsidRDefault="00B73698" w:rsidP="00B73698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Przychody </w:t>
      </w:r>
      <w:r w:rsidR="00707C91">
        <w:rPr>
          <w:rFonts w:ascii="Times New Roman" w:hAnsi="Times New Roman" w:cs="Times New Roman"/>
          <w:color w:val="000000"/>
          <w:sz w:val="24"/>
          <w:szCs w:val="24"/>
        </w:rPr>
        <w:t>zmniejszono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707C91">
        <w:rPr>
          <w:rFonts w:ascii="Times New Roman" w:hAnsi="Times New Roman" w:cs="Times New Roman"/>
          <w:color w:val="000000"/>
          <w:sz w:val="24"/>
          <w:szCs w:val="24"/>
        </w:rPr>
        <w:t>162 044</w:t>
      </w:r>
      <w:r w:rsidR="0089349E">
        <w:rPr>
          <w:rFonts w:ascii="Times New Roman" w:hAnsi="Times New Roman" w:cs="Times New Roman"/>
          <w:color w:val="000000"/>
          <w:sz w:val="24"/>
          <w:szCs w:val="24"/>
        </w:rPr>
        <w:t>,00</w:t>
      </w: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 zł.</w:t>
      </w:r>
    </w:p>
    <w:p w14:paraId="2858A06A" w14:textId="5A7539BA" w:rsidR="00707C91" w:rsidRPr="00B73698" w:rsidRDefault="00707C91" w:rsidP="00B73698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Rozchody zmniejszono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54AB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400 000,00 zł.</w:t>
      </w:r>
    </w:p>
    <w:p w14:paraId="1865D642" w14:textId="77777777" w:rsidR="00B73698" w:rsidRPr="00B73698" w:rsidRDefault="00B73698" w:rsidP="00B73698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ind w:left="720"/>
        <w:rPr>
          <w:rFonts w:ascii="Times New Roman" w:hAnsi="Times New Roman" w:cs="Times New Roman"/>
        </w:rPr>
      </w:pPr>
    </w:p>
    <w:p w14:paraId="4D84F6C0" w14:textId="02CD4DE0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Deficyt budżetowy gminy wynosi </w:t>
      </w:r>
      <w:r w:rsidR="00707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3 204 975</w:t>
      </w:r>
      <w:r w:rsidRPr="00B736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,00 zł.</w:t>
      </w:r>
    </w:p>
    <w:p w14:paraId="00FB1499" w14:textId="511BDEF3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</w:rPr>
      </w:pPr>
      <w:r w:rsidRPr="00B73698">
        <w:rPr>
          <w:rFonts w:ascii="Times New Roman" w:hAnsi="Times New Roman" w:cs="Times New Roman"/>
          <w:color w:val="000000"/>
          <w:sz w:val="24"/>
          <w:szCs w:val="24"/>
        </w:rPr>
        <w:t xml:space="preserve">Planuję się zaciągnąć kredyt w wysokości </w:t>
      </w:r>
      <w:r w:rsidR="00707C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1 817 305</w:t>
      </w:r>
      <w:r w:rsidRPr="00DC18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,00</w:t>
      </w:r>
      <w:r w:rsidRPr="00B7369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zł.</w:t>
      </w:r>
    </w:p>
    <w:p w14:paraId="3B51D3D3" w14:textId="30D91501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Planowana kwota długu na koniec 2022 roku wynosi </w:t>
      </w:r>
      <w:r w:rsidR="00893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7C91" w:rsidRPr="00707C91">
        <w:rPr>
          <w:rFonts w:ascii="Times New Roman" w:hAnsi="Times New Roman" w:cs="Times New Roman"/>
          <w:b/>
          <w:bCs/>
          <w:sz w:val="24"/>
          <w:szCs w:val="24"/>
        </w:rPr>
        <w:t>12 888 305,00</w:t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>zł.</w:t>
      </w:r>
    </w:p>
    <w:p w14:paraId="7D2B6142" w14:textId="0C0D8961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Różnica między dochodami a wydatkami bieżącymi wynosi  </w:t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707C91">
        <w:rPr>
          <w:rFonts w:ascii="Times New Roman" w:hAnsi="Times New Roman" w:cs="Times New Roman"/>
          <w:b/>
          <w:bCs/>
          <w:sz w:val="24"/>
          <w:szCs w:val="24"/>
        </w:rPr>
        <w:t>1 783 452,00</w:t>
      </w:r>
      <w:r w:rsidRPr="00B7369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B73698">
        <w:rPr>
          <w:rFonts w:ascii="Times New Roman" w:hAnsi="Times New Roman" w:cs="Times New Roman"/>
          <w:sz w:val="24"/>
          <w:szCs w:val="24"/>
        </w:rPr>
        <w:t>, zrównoważenie budżetu zostanie powiększone o:</w:t>
      </w:r>
    </w:p>
    <w:p w14:paraId="043F2A79" w14:textId="77777777" w:rsidR="00B73698" w:rsidRPr="00B73698" w:rsidRDefault="00B73698" w:rsidP="00B73698">
      <w:pPr>
        <w:numPr>
          <w:ilvl w:val="3"/>
          <w:numId w:val="1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3698">
        <w:rPr>
          <w:rFonts w:ascii="Times New Roman" w:hAnsi="Times New Roman" w:cs="Times New Roman"/>
          <w:sz w:val="24"/>
          <w:szCs w:val="24"/>
        </w:rPr>
        <w:t>Wolne środki jako nadwyżka środków przychodami pochodzącymi z wolnych środków jako nadwyżki środków pieniężnych na rachunku bieżącym budżetu wynikających z rozliczeń kredytów z lat ubiegłych w wysokości 1 463 589,00 zł,</w:t>
      </w:r>
    </w:p>
    <w:p w14:paraId="064D236D" w14:textId="1BD24F04" w:rsidR="00B73698" w:rsidRDefault="00B73698" w:rsidP="00B73698">
      <w:pPr>
        <w:numPr>
          <w:ilvl w:val="3"/>
          <w:numId w:val="1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Niewykorzystane środki pieniężne na rachunku bieżącym budżetu, wynikających z rozliczenia dochodów i wydatków nimi finansowanych związanych ze szczególnymi zasadami wykonywania budżetu określonymi w odrębnych ustawach, w wysokości </w:t>
      </w:r>
      <w:r w:rsidR="00707C91">
        <w:rPr>
          <w:rFonts w:ascii="Times New Roman" w:hAnsi="Times New Roman" w:cs="Times New Roman"/>
          <w:sz w:val="24"/>
          <w:szCs w:val="24"/>
        </w:rPr>
        <w:t>319 863,00</w:t>
      </w:r>
      <w:r w:rsidRPr="00B73698">
        <w:rPr>
          <w:rFonts w:ascii="Times New Roman" w:hAnsi="Times New Roman" w:cs="Times New Roman"/>
          <w:sz w:val="24"/>
          <w:szCs w:val="24"/>
        </w:rPr>
        <w:t xml:space="preserve"> zł. </w:t>
      </w:r>
    </w:p>
    <w:p w14:paraId="0F502C0F" w14:textId="2B78864B" w:rsidR="009D2E5F" w:rsidRDefault="004B055B" w:rsidP="004B055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Należy zauważyć, </w:t>
      </w:r>
      <w:r w:rsidR="002106FF"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 xml:space="preserve">e zgodnie z obowiązującymi przepisami </w:t>
      </w:r>
      <w:r w:rsidR="004A6F32">
        <w:rPr>
          <w:rFonts w:ascii="Times New Roman" w:hAnsi="Times New Roman" w:cs="Times New Roman"/>
          <w:sz w:val="24"/>
          <w:szCs w:val="24"/>
        </w:rPr>
        <w:t>gmina może w danym roku budżetowym przekroczyć wydatki bie</w:t>
      </w:r>
      <w:r w:rsidR="00A37D2A">
        <w:rPr>
          <w:rFonts w:ascii="Times New Roman" w:hAnsi="Times New Roman" w:cs="Times New Roman"/>
          <w:sz w:val="24"/>
          <w:szCs w:val="24"/>
        </w:rPr>
        <w:t xml:space="preserve">żące ponad dochody bieżące jednakże </w:t>
      </w:r>
      <w:r w:rsidR="004A6F32">
        <w:rPr>
          <w:rFonts w:ascii="Times New Roman" w:hAnsi="Times New Roman" w:cs="Times New Roman"/>
          <w:sz w:val="24"/>
          <w:szCs w:val="24"/>
        </w:rPr>
        <w:t xml:space="preserve">suma przekroczeń tej relacji </w:t>
      </w:r>
      <w:r w:rsidR="00823E85">
        <w:rPr>
          <w:rFonts w:ascii="Times New Roman" w:hAnsi="Times New Roman" w:cs="Times New Roman"/>
          <w:sz w:val="24"/>
          <w:szCs w:val="24"/>
        </w:rPr>
        <w:t xml:space="preserve">w </w:t>
      </w:r>
      <w:r w:rsidR="004A6F32">
        <w:rPr>
          <w:rFonts w:ascii="Times New Roman" w:hAnsi="Times New Roman" w:cs="Times New Roman"/>
          <w:sz w:val="24"/>
          <w:szCs w:val="24"/>
        </w:rPr>
        <w:t xml:space="preserve">latach </w:t>
      </w:r>
      <w:r w:rsidR="00A37D2A">
        <w:rPr>
          <w:rFonts w:ascii="Times New Roman" w:hAnsi="Times New Roman" w:cs="Times New Roman"/>
          <w:sz w:val="24"/>
          <w:szCs w:val="24"/>
        </w:rPr>
        <w:t xml:space="preserve">2022-2025 </w:t>
      </w:r>
      <w:r w:rsidR="004A6F32">
        <w:rPr>
          <w:rFonts w:ascii="Times New Roman" w:hAnsi="Times New Roman" w:cs="Times New Roman"/>
          <w:sz w:val="24"/>
          <w:szCs w:val="24"/>
        </w:rPr>
        <w:t xml:space="preserve">nie </w:t>
      </w:r>
      <w:r w:rsidR="00A37D2A">
        <w:rPr>
          <w:rFonts w:ascii="Times New Roman" w:hAnsi="Times New Roman" w:cs="Times New Roman"/>
          <w:sz w:val="24"/>
          <w:szCs w:val="24"/>
        </w:rPr>
        <w:t xml:space="preserve">może być </w:t>
      </w:r>
      <w:r w:rsidR="004A6F32">
        <w:rPr>
          <w:rFonts w:ascii="Times New Roman" w:hAnsi="Times New Roman" w:cs="Times New Roman"/>
          <w:sz w:val="24"/>
          <w:szCs w:val="24"/>
        </w:rPr>
        <w:t xml:space="preserve"> wyższa od sumy nadwyżek wynikających z tej relacji w poszczególnych latach.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54BA4E" w14:textId="6F8653F7" w:rsidR="00B73698" w:rsidRDefault="004B055B" w:rsidP="004B055B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Wieloletniej prognozie finansowej założono: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879"/>
        <w:gridCol w:w="1879"/>
        <w:gridCol w:w="1879"/>
        <w:gridCol w:w="3856"/>
      </w:tblGrid>
      <w:tr w:rsidR="00517C2C" w14:paraId="2CD10311" w14:textId="77777777" w:rsidTr="009C2C79">
        <w:trPr>
          <w:trHeight w:val="394"/>
        </w:trPr>
        <w:tc>
          <w:tcPr>
            <w:tcW w:w="9493" w:type="dxa"/>
            <w:gridSpan w:val="4"/>
          </w:tcPr>
          <w:p w14:paraId="0961AD39" w14:textId="77777777" w:rsidR="00517C2C" w:rsidRPr="009D2E5F" w:rsidRDefault="00517C2C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2CB3CD" w14:textId="15573D8D" w:rsidR="00517C2C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Założenia przyjęte w WPF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lata</w:t>
            </w: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2022-2025</w:t>
            </w:r>
          </w:p>
        </w:tc>
      </w:tr>
      <w:tr w:rsidR="00E11246" w14:paraId="33F85482" w14:textId="77777777" w:rsidTr="009C2C79">
        <w:tc>
          <w:tcPr>
            <w:tcW w:w="1879" w:type="dxa"/>
          </w:tcPr>
          <w:p w14:paraId="696F8152" w14:textId="7B18AD9F" w:rsidR="00E11246" w:rsidRPr="009D2E5F" w:rsidRDefault="00E11246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1879" w:type="dxa"/>
          </w:tcPr>
          <w:p w14:paraId="75C11CB0" w14:textId="56385429" w:rsidR="00E11246" w:rsidRPr="009D2E5F" w:rsidRDefault="00E11246" w:rsidP="004B055B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Dochody bieżące</w:t>
            </w:r>
          </w:p>
        </w:tc>
        <w:tc>
          <w:tcPr>
            <w:tcW w:w="1879" w:type="dxa"/>
          </w:tcPr>
          <w:p w14:paraId="0C7671B2" w14:textId="6FA9EC2A" w:rsidR="00E11246" w:rsidRPr="009D2E5F" w:rsidRDefault="00E11246" w:rsidP="004B055B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Wydatki bieżące</w:t>
            </w:r>
          </w:p>
        </w:tc>
        <w:tc>
          <w:tcPr>
            <w:tcW w:w="3856" w:type="dxa"/>
          </w:tcPr>
          <w:p w14:paraId="36F4608D" w14:textId="1E3D4C03" w:rsidR="00E11246" w:rsidRPr="009D2E5F" w:rsidRDefault="00E11246" w:rsidP="004B055B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Wynik operacyjny</w:t>
            </w:r>
          </w:p>
        </w:tc>
      </w:tr>
      <w:tr w:rsidR="00E11246" w14:paraId="0A66FA09" w14:textId="77777777" w:rsidTr="009C2C79">
        <w:tc>
          <w:tcPr>
            <w:tcW w:w="1879" w:type="dxa"/>
          </w:tcPr>
          <w:p w14:paraId="58CEDB3D" w14:textId="12F39A0F" w:rsidR="00E11246" w:rsidRPr="009D2E5F" w:rsidRDefault="00E11246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879" w:type="dxa"/>
          </w:tcPr>
          <w:p w14:paraId="12BD8F1A" w14:textId="5FE17942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27 711 776,00</w:t>
            </w:r>
          </w:p>
        </w:tc>
        <w:tc>
          <w:tcPr>
            <w:tcW w:w="1879" w:type="dxa"/>
          </w:tcPr>
          <w:p w14:paraId="0D27870E" w14:textId="64AC11DD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29 495 228,00</w:t>
            </w:r>
          </w:p>
        </w:tc>
        <w:tc>
          <w:tcPr>
            <w:tcW w:w="3856" w:type="dxa"/>
          </w:tcPr>
          <w:p w14:paraId="4074D6D0" w14:textId="0E5218C1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-1 783 452,00</w:t>
            </w:r>
          </w:p>
        </w:tc>
      </w:tr>
      <w:tr w:rsidR="00E11246" w14:paraId="7AD6DC01" w14:textId="77777777" w:rsidTr="009C2C79">
        <w:tc>
          <w:tcPr>
            <w:tcW w:w="1879" w:type="dxa"/>
          </w:tcPr>
          <w:p w14:paraId="2B92CF63" w14:textId="1C43A391" w:rsidR="00E11246" w:rsidRPr="009D2E5F" w:rsidRDefault="00E11246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879" w:type="dxa"/>
          </w:tcPr>
          <w:p w14:paraId="3A2AD192" w14:textId="37D0AA60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30 000 000,00</w:t>
            </w:r>
          </w:p>
        </w:tc>
        <w:tc>
          <w:tcPr>
            <w:tcW w:w="1879" w:type="dxa"/>
          </w:tcPr>
          <w:p w14:paraId="17B6A841" w14:textId="1E91D9AC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29 142 000,00</w:t>
            </w:r>
          </w:p>
        </w:tc>
        <w:tc>
          <w:tcPr>
            <w:tcW w:w="3856" w:type="dxa"/>
          </w:tcPr>
          <w:p w14:paraId="556193C3" w14:textId="5698FBF3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858 000,00</w:t>
            </w:r>
          </w:p>
        </w:tc>
      </w:tr>
      <w:tr w:rsidR="00E11246" w14:paraId="21B1E3EB" w14:textId="77777777" w:rsidTr="009C2C79">
        <w:tc>
          <w:tcPr>
            <w:tcW w:w="1879" w:type="dxa"/>
          </w:tcPr>
          <w:p w14:paraId="1FC3193D" w14:textId="7BA622ED" w:rsidR="00E11246" w:rsidRPr="009D2E5F" w:rsidRDefault="00E11246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879" w:type="dxa"/>
          </w:tcPr>
          <w:p w14:paraId="1AABEAD7" w14:textId="46C495D9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31 000 000,00</w:t>
            </w:r>
          </w:p>
        </w:tc>
        <w:tc>
          <w:tcPr>
            <w:tcW w:w="1879" w:type="dxa"/>
          </w:tcPr>
          <w:p w14:paraId="505CFDFD" w14:textId="59970CEB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29 500 000,00</w:t>
            </w:r>
          </w:p>
        </w:tc>
        <w:tc>
          <w:tcPr>
            <w:tcW w:w="3856" w:type="dxa"/>
          </w:tcPr>
          <w:p w14:paraId="1A88C27B" w14:textId="6754FE10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1 500 000,00</w:t>
            </w:r>
          </w:p>
        </w:tc>
      </w:tr>
      <w:tr w:rsidR="00E11246" w14:paraId="04EA4CCE" w14:textId="77777777" w:rsidTr="009C2C79">
        <w:tc>
          <w:tcPr>
            <w:tcW w:w="1879" w:type="dxa"/>
          </w:tcPr>
          <w:p w14:paraId="1DAD08B7" w14:textId="17D3C3AF" w:rsidR="00E11246" w:rsidRPr="009D2E5F" w:rsidRDefault="00E11246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E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879" w:type="dxa"/>
          </w:tcPr>
          <w:p w14:paraId="12340869" w14:textId="71D22840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32 000 000,00</w:t>
            </w:r>
          </w:p>
        </w:tc>
        <w:tc>
          <w:tcPr>
            <w:tcW w:w="1879" w:type="dxa"/>
          </w:tcPr>
          <w:p w14:paraId="713352E6" w14:textId="2363419E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29 562 000,00</w:t>
            </w:r>
          </w:p>
        </w:tc>
        <w:tc>
          <w:tcPr>
            <w:tcW w:w="3856" w:type="dxa"/>
          </w:tcPr>
          <w:p w14:paraId="59002894" w14:textId="3378C618" w:rsidR="00E11246" w:rsidRDefault="009D2E5F" w:rsidP="009D2E5F">
            <w:pPr>
              <w:tabs>
                <w:tab w:val="left" w:pos="85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2 438 000,00</w:t>
            </w:r>
          </w:p>
        </w:tc>
      </w:tr>
    </w:tbl>
    <w:p w14:paraId="205BDC6A" w14:textId="4B38B26C" w:rsidR="002106FF" w:rsidRPr="002106FF" w:rsidRDefault="00C325B8" w:rsidP="002106FF">
      <w:pPr>
        <w:suppressAutoHyphens/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Aby spełnić przyjęte założenia </w:t>
      </w:r>
      <w:r w:rsidR="00A37D2A">
        <w:rPr>
          <w:rFonts w:ascii="Times New Roman" w:eastAsia="Calibri" w:hAnsi="Times New Roman" w:cs="Times New Roman"/>
          <w:sz w:val="24"/>
          <w:szCs w:val="24"/>
          <w:lang w:eastAsia="ar-SA"/>
        </w:rPr>
        <w:t>n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ależy powziąć w gminie działania które przyczynią się do zmniejszenia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bądź też zachowania na podobnym poziomie 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>wydatków bieżących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 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pozyskania nowych dochodów bieżących </w:t>
      </w:r>
      <w:r w:rsidR="009C2C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 roku 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2106FF">
        <w:rPr>
          <w:rFonts w:ascii="Times New Roman" w:eastAsia="Calibri" w:hAnsi="Times New Roman" w:cs="Times New Roman"/>
          <w:sz w:val="24"/>
          <w:szCs w:val="24"/>
          <w:lang w:eastAsia="ar-SA"/>
        </w:rPr>
        <w:t>bieżący</w:t>
      </w:r>
      <w:r w:rsidR="009C2C79">
        <w:rPr>
          <w:rFonts w:ascii="Times New Roman" w:eastAsia="Calibri" w:hAnsi="Times New Roman" w:cs="Times New Roman"/>
          <w:sz w:val="24"/>
          <w:szCs w:val="24"/>
          <w:lang w:eastAsia="ar-SA"/>
        </w:rPr>
        <w:t>m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 kolejn</w:t>
      </w:r>
      <w:r w:rsidR="009C2C79">
        <w:rPr>
          <w:rFonts w:ascii="Times New Roman" w:eastAsia="Calibri" w:hAnsi="Times New Roman" w:cs="Times New Roman"/>
          <w:sz w:val="24"/>
          <w:szCs w:val="24"/>
          <w:lang w:eastAsia="ar-SA"/>
        </w:rPr>
        <w:t>ych latach</w:t>
      </w:r>
      <w:r w:rsidR="002106FF" w:rsidRPr="002106F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14:paraId="5BD13291" w14:textId="77777777" w:rsidR="009C2C79" w:rsidRDefault="009C2C79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3AFDA16" w14:textId="5DC14DC4" w:rsidR="00B73698" w:rsidRPr="00B73698" w:rsidRDefault="00B73698" w:rsidP="00B736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B73698">
        <w:rPr>
          <w:rFonts w:ascii="Times New Roman" w:hAnsi="Times New Roman" w:cs="Times New Roman"/>
          <w:sz w:val="24"/>
          <w:szCs w:val="24"/>
        </w:rPr>
        <w:t xml:space="preserve">Po naniesieniu zmian wszystkie </w:t>
      </w:r>
      <w:r w:rsidR="009C2C79" w:rsidRPr="00B73698">
        <w:rPr>
          <w:rFonts w:ascii="Times New Roman" w:hAnsi="Times New Roman" w:cs="Times New Roman"/>
          <w:sz w:val="24"/>
          <w:szCs w:val="24"/>
        </w:rPr>
        <w:t>wskaźniki</w:t>
      </w:r>
      <w:r w:rsidRPr="00B73698">
        <w:rPr>
          <w:rFonts w:ascii="Times New Roman" w:hAnsi="Times New Roman" w:cs="Times New Roman"/>
          <w:sz w:val="24"/>
          <w:szCs w:val="24"/>
        </w:rPr>
        <w:t xml:space="preserve"> zostały zachowane. </w:t>
      </w:r>
    </w:p>
    <w:p w14:paraId="7391C2CC" w14:textId="39EB074B" w:rsidR="00B73698" w:rsidRDefault="00B73698"/>
    <w:p w14:paraId="08839367" w14:textId="3ABA9103" w:rsidR="00B73698" w:rsidRDefault="00B73698"/>
    <w:p w14:paraId="2259FB94" w14:textId="77777777" w:rsidR="00B73698" w:rsidRDefault="00B73698"/>
    <w:sectPr w:rsidR="00B73698" w:rsidSect="00DA3448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85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157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193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29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2651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1E9"/>
    <w:rsid w:val="00060A25"/>
    <w:rsid w:val="001B38F4"/>
    <w:rsid w:val="002106FF"/>
    <w:rsid w:val="00444DDF"/>
    <w:rsid w:val="004A6F32"/>
    <w:rsid w:val="004B055B"/>
    <w:rsid w:val="00517C2C"/>
    <w:rsid w:val="006854AB"/>
    <w:rsid w:val="00707C91"/>
    <w:rsid w:val="00730CE8"/>
    <w:rsid w:val="0076620A"/>
    <w:rsid w:val="00823E85"/>
    <w:rsid w:val="0089349E"/>
    <w:rsid w:val="009131E9"/>
    <w:rsid w:val="009C2C79"/>
    <w:rsid w:val="009D2E5F"/>
    <w:rsid w:val="00A37D2A"/>
    <w:rsid w:val="00A607C0"/>
    <w:rsid w:val="00B73698"/>
    <w:rsid w:val="00C325B8"/>
    <w:rsid w:val="00DC1846"/>
    <w:rsid w:val="00E11246"/>
    <w:rsid w:val="00FA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1993"/>
  <w15:chartTrackingRefBased/>
  <w15:docId w15:val="{5829CE30-542E-4648-880B-B8C8327A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B0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Lidzbark Warmiński</dc:creator>
  <cp:keywords/>
  <dc:description/>
  <cp:lastModifiedBy>M S</cp:lastModifiedBy>
  <cp:revision>16</cp:revision>
  <cp:lastPrinted>2022-03-08T07:14:00Z</cp:lastPrinted>
  <dcterms:created xsi:type="dcterms:W3CDTF">2022-02-08T16:28:00Z</dcterms:created>
  <dcterms:modified xsi:type="dcterms:W3CDTF">2022-03-08T07:16:00Z</dcterms:modified>
</cp:coreProperties>
</file>